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4FA73" w14:textId="4FE0C5AE" w:rsidR="00555FD3" w:rsidRDefault="00555FD3">
      <w:r>
        <w:t xml:space="preserve">Rooks County </w:t>
      </w:r>
      <w:r w:rsidR="000168DC">
        <w:t xml:space="preserve">Average </w:t>
      </w:r>
      <w:r>
        <w:t>Value and Percent Difference by Location</w:t>
      </w:r>
    </w:p>
    <w:p w14:paraId="1D11C8CA" w14:textId="3F222AFD" w:rsidR="00A17C21" w:rsidRDefault="000E6F4F">
      <w:r>
        <w:t>By Heather Poore, AAS, RES</w:t>
      </w:r>
      <w:r w:rsidR="0039373B">
        <w:t>, RMA, Rooks County Appraiser</w:t>
      </w:r>
    </w:p>
    <w:p w14:paraId="427647E3" w14:textId="4EB0AC00" w:rsidR="000E6F4F" w:rsidRDefault="000E6F4F"/>
    <w:p w14:paraId="069B91E2" w14:textId="3A8DF9B0" w:rsidR="00DB664C" w:rsidRDefault="00773DD2">
      <w:r>
        <w:t xml:space="preserve">Values have been a hot topic lately, as Rooks County residents opened value notices.  These values are not arrived at lightly.  Work on the appraised value starts in October and finishes right at the first of the year. </w:t>
      </w:r>
      <w:r w:rsidR="0039373B">
        <w:t>This year the agriculture</w:t>
      </w:r>
      <w:r w:rsidR="00555FD3">
        <w:t xml:space="preserve"> values and vacant land values both saw very little movement. However, below are graphs depicting the changes in commercial and residential values by areas.  </w:t>
      </w:r>
    </w:p>
    <w:p w14:paraId="7F5FA7CC" w14:textId="77777777" w:rsidR="00555FD3" w:rsidRDefault="00555FD3"/>
    <w:p w14:paraId="1D35CBE8" w14:textId="51E3D284" w:rsidR="00DB664C" w:rsidRDefault="00DB664C">
      <w:r>
        <w:t xml:space="preserve">Commercial property </w:t>
      </w:r>
      <w:r w:rsidR="00063D7A">
        <w:t xml:space="preserve">saw the largest swing in value in the City of Damar.  This is in a large part to changing description codes </w:t>
      </w:r>
      <w:r w:rsidR="00555FD3">
        <w:t xml:space="preserve">to be more similar with surrounding counties. </w:t>
      </w:r>
      <w:r w:rsidR="00063D7A">
        <w:t xml:space="preserve">Majority of the county saw a 4% increase overall in commercial properties.  </w:t>
      </w:r>
    </w:p>
    <w:p w14:paraId="4E1F45F6" w14:textId="20CBD236" w:rsidR="00974B0B" w:rsidRDefault="00974B0B"/>
    <w:p w14:paraId="77A93374" w14:textId="6511180E" w:rsidR="00063D7A" w:rsidRDefault="00B3147B">
      <w:r>
        <w:rPr>
          <w:noProof/>
        </w:rPr>
        <w:drawing>
          <wp:inline distT="0" distB="0" distL="0" distR="0" wp14:anchorId="6615BBE0" wp14:editId="12417EB8">
            <wp:extent cx="4572000" cy="2743200"/>
            <wp:effectExtent l="0" t="0" r="0" b="0"/>
            <wp:docPr id="1" name="Chart 1">
              <a:extLst xmlns:a="http://schemas.openxmlformats.org/drawingml/2006/main">
                <a:ext uri="{FF2B5EF4-FFF2-40B4-BE49-F238E27FC236}">
                  <a16:creationId xmlns:a16="http://schemas.microsoft.com/office/drawing/2014/main" id="{BB020835-D5BA-4A85-91C9-F6684B1F0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4187C2A" w14:textId="77777777" w:rsidR="00063D7A" w:rsidRDefault="00063D7A"/>
    <w:p w14:paraId="78EEEABD" w14:textId="77777777" w:rsidR="00063D7A" w:rsidRDefault="00063D7A"/>
    <w:p w14:paraId="79B3B554" w14:textId="5BD4C333" w:rsidR="00063D7A" w:rsidRDefault="00B3147B">
      <w:r>
        <w:rPr>
          <w:noProof/>
        </w:rPr>
        <w:drawing>
          <wp:inline distT="0" distB="0" distL="0" distR="0" wp14:anchorId="270256F3" wp14:editId="1F65E20D">
            <wp:extent cx="4572000" cy="2743200"/>
            <wp:effectExtent l="0" t="0" r="0" b="0"/>
            <wp:docPr id="2" name="Chart 2">
              <a:extLst xmlns:a="http://schemas.openxmlformats.org/drawingml/2006/main">
                <a:ext uri="{FF2B5EF4-FFF2-40B4-BE49-F238E27FC236}">
                  <a16:creationId xmlns:a16="http://schemas.microsoft.com/office/drawing/2014/main" id="{D6E19900-E01F-41DA-95A5-6E1623449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8CF80C3" w14:textId="77777777" w:rsidR="0039373B" w:rsidRDefault="0039373B" w:rsidP="00B3147B"/>
    <w:p w14:paraId="05600093" w14:textId="0FF111D3" w:rsidR="00B3147B" w:rsidRDefault="00773DD2" w:rsidP="00B3147B">
      <w:r>
        <w:lastRenderedPageBreak/>
        <w:t>Residential</w:t>
      </w:r>
      <w:r w:rsidR="00B3147B">
        <w:t xml:space="preserve"> homes and farmsteads saw the biggest value changes of all.  The last two weeks have brought lots of questions on how value of homes could rise so quickly over one year.  The county appraiser’s office works very hard to find market value, this is done primarily based on open market sales.   Open market sales definition is the house was advertised by a sign in the yard, Facebook Marketplace, </w:t>
      </w:r>
      <w:r w:rsidR="0039373B">
        <w:t xml:space="preserve">real estate agent, </w:t>
      </w:r>
      <w:r w:rsidR="00B3147B">
        <w:t xml:space="preserve">newspaper or flyer. The goal of the office is to hit 100% of the market.  This is not an easy task, especially with the housing market going way beyond “normal” expectations.  </w:t>
      </w:r>
    </w:p>
    <w:p w14:paraId="33C69196" w14:textId="77777777" w:rsidR="009D25E3" w:rsidRDefault="009D25E3" w:rsidP="00B3147B"/>
    <w:p w14:paraId="41219B41" w14:textId="38EE1CCD" w:rsidR="009D25E3" w:rsidRDefault="00BC0D32" w:rsidP="00B3147B">
      <w:r>
        <w:rPr>
          <w:noProof/>
        </w:rPr>
        <w:drawing>
          <wp:inline distT="0" distB="0" distL="0" distR="0" wp14:anchorId="32DB5A0C" wp14:editId="5865D403">
            <wp:extent cx="4572000" cy="2743200"/>
            <wp:effectExtent l="0" t="0" r="0" b="0"/>
            <wp:docPr id="5" name="Chart 5">
              <a:extLst xmlns:a="http://schemas.openxmlformats.org/drawingml/2006/main">
                <a:ext uri="{FF2B5EF4-FFF2-40B4-BE49-F238E27FC236}">
                  <a16:creationId xmlns:a16="http://schemas.microsoft.com/office/drawing/2014/main" id="{25954BEA-CA26-41A2-9851-87F73C4CB5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1D3ACB5" w14:textId="00E0D384" w:rsidR="00BC0D32" w:rsidRDefault="00BC0D32" w:rsidP="00B3147B"/>
    <w:p w14:paraId="4C1F2A4C" w14:textId="62A67A0E" w:rsidR="00BC0D32" w:rsidRDefault="00BC0D32" w:rsidP="00B3147B"/>
    <w:p w14:paraId="27A5453A" w14:textId="77777777" w:rsidR="00BC0D32" w:rsidRDefault="00BC0D32" w:rsidP="00B3147B"/>
    <w:p w14:paraId="61C5E1E2" w14:textId="63CC096C" w:rsidR="009D25E3" w:rsidRDefault="009D25E3" w:rsidP="00B3147B"/>
    <w:p w14:paraId="25925D96" w14:textId="7B1D05CD" w:rsidR="009D25E3" w:rsidRDefault="009D25E3" w:rsidP="00B3147B"/>
    <w:p w14:paraId="23748029" w14:textId="59FBACAA" w:rsidR="009D25E3" w:rsidRDefault="00BC0D32" w:rsidP="00B3147B">
      <w:r>
        <w:rPr>
          <w:noProof/>
        </w:rPr>
        <w:drawing>
          <wp:inline distT="0" distB="0" distL="0" distR="0" wp14:anchorId="271BE64D" wp14:editId="46B8E4D2">
            <wp:extent cx="4572000" cy="2743200"/>
            <wp:effectExtent l="0" t="0" r="0" b="0"/>
            <wp:docPr id="6" name="Chart 6">
              <a:extLst xmlns:a="http://schemas.openxmlformats.org/drawingml/2006/main">
                <a:ext uri="{FF2B5EF4-FFF2-40B4-BE49-F238E27FC236}">
                  <a16:creationId xmlns:a16="http://schemas.microsoft.com/office/drawing/2014/main" id="{91AC1842-3911-4D50-93FA-C812CB54A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F3A951" w14:textId="4F02A7C5" w:rsidR="00B3147B" w:rsidRDefault="00B3147B" w:rsidP="003D3B98"/>
    <w:p w14:paraId="7CBC88A8" w14:textId="77777777" w:rsidR="00B3147B" w:rsidRDefault="00B3147B" w:rsidP="003D3B98"/>
    <w:p w14:paraId="2AF0BE88" w14:textId="77777777" w:rsidR="000168DC" w:rsidRDefault="000168DC" w:rsidP="003D3B98"/>
    <w:p w14:paraId="2CB2F77B" w14:textId="5A8AB9A0" w:rsidR="00AF2E10" w:rsidRDefault="00AF2E10" w:rsidP="003D3B98">
      <w:r>
        <w:lastRenderedPageBreak/>
        <w:t>Any property owner may get their comparable sales report by calling the office. It is important that property owners look at the value chosen by the office and determine if the value assigned is a value that the home can be sold. If the interior of the home has issu</w:t>
      </w:r>
      <w:r w:rsidR="00DC4849">
        <w:t xml:space="preserve">es with plumbing, electrical or the house interior has not been updated </w:t>
      </w:r>
      <w:r w:rsidR="00B3147B">
        <w:t xml:space="preserve">for example, </w:t>
      </w:r>
      <w:r w:rsidR="00DC4849">
        <w:t xml:space="preserve">the appraiser’s office needs to know.  This effects the desirability of the home and the property could see a deduction in value. </w:t>
      </w:r>
      <w:r w:rsidR="00B3147B">
        <w:t xml:space="preserve"> </w:t>
      </w:r>
      <w:r w:rsidR="0039373B">
        <w:t xml:space="preserve">Walk-ins are welcome and phone hearings are done easily. Photos, fee appraisals, or estimates to get repairs completed are welcome.  </w:t>
      </w:r>
      <w:r w:rsidR="00B3147B">
        <w:t xml:space="preserve">The deadline to sign up for an informal hearing and get further </w:t>
      </w:r>
      <w:r w:rsidR="00773DD2">
        <w:t>explanation</w:t>
      </w:r>
      <w:r w:rsidR="00B3147B">
        <w:t xml:space="preserve"> of the value is </w:t>
      </w:r>
      <w:r w:rsidR="009D25E3">
        <w:t xml:space="preserve">March 30, 2022. </w:t>
      </w:r>
    </w:p>
    <w:p w14:paraId="3423213C" w14:textId="42BEBEB8" w:rsidR="00406C89" w:rsidRDefault="00406C89" w:rsidP="003D3B98"/>
    <w:p w14:paraId="2AA778B7" w14:textId="358878DA" w:rsidR="00406C89" w:rsidRDefault="00773DD2" w:rsidP="003D3B98">
      <w:r>
        <w:rPr>
          <w:noProof/>
        </w:rPr>
        <w:drawing>
          <wp:inline distT="0" distB="0" distL="0" distR="0" wp14:anchorId="4F91091A" wp14:editId="4BE2E9DE">
            <wp:extent cx="5705475" cy="3800475"/>
            <wp:effectExtent l="0" t="0" r="9525" b="9525"/>
            <wp:docPr id="8" name="Chart 8">
              <a:extLst xmlns:a="http://schemas.openxmlformats.org/drawingml/2006/main">
                <a:ext uri="{FF2B5EF4-FFF2-40B4-BE49-F238E27FC236}">
                  <a16:creationId xmlns:a16="http://schemas.microsoft.com/office/drawing/2014/main" id="{0FE54C12-5DE7-4652-9BAF-C7342BAF7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sectPr w:rsidR="00406C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1A0473"/>
    <w:multiLevelType w:val="hybridMultilevel"/>
    <w:tmpl w:val="C9984586"/>
    <w:lvl w:ilvl="0" w:tplc="EC60D6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F4F"/>
    <w:rsid w:val="000168DC"/>
    <w:rsid w:val="00063D7A"/>
    <w:rsid w:val="000853FE"/>
    <w:rsid w:val="000E6F4F"/>
    <w:rsid w:val="001568BB"/>
    <w:rsid w:val="0039373B"/>
    <w:rsid w:val="003D3B98"/>
    <w:rsid w:val="00406C89"/>
    <w:rsid w:val="00555FD3"/>
    <w:rsid w:val="00773DD2"/>
    <w:rsid w:val="007D5EA2"/>
    <w:rsid w:val="008854CB"/>
    <w:rsid w:val="00974B0B"/>
    <w:rsid w:val="009D25E3"/>
    <w:rsid w:val="00A17C21"/>
    <w:rsid w:val="00A82BEA"/>
    <w:rsid w:val="00AF2E10"/>
    <w:rsid w:val="00B3147B"/>
    <w:rsid w:val="00B47F33"/>
    <w:rsid w:val="00BB73C6"/>
    <w:rsid w:val="00BC0D32"/>
    <w:rsid w:val="00D446CF"/>
    <w:rsid w:val="00DB664C"/>
    <w:rsid w:val="00DC4849"/>
    <w:rsid w:val="00FD6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705A5"/>
  <w15:chartTrackingRefBased/>
  <w15:docId w15:val="{499D3720-555C-4AEB-BB5A-ECF09F0CD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B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3" Type="http://schemas.openxmlformats.org/officeDocument/2006/relationships/settings" Target="settings.xml"/><Relationship Id="rId7"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eather\Desktop\082%20RO%202022%20March%20value%20and%20percent%20differe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800" b="1" i="0" u="none" strike="noStrike" cap="all" baseline="0">
                <a:effectLst/>
              </a:rPr>
              <a:t>Commercial </a:t>
            </a:r>
            <a:r>
              <a:rPr lang="en-US"/>
              <a:t>Average Value Difference By Location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Commercial!$O$1</c:f>
              <c:strCache>
                <c:ptCount val="1"/>
                <c:pt idx="0">
                  <c:v>Mean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Commercial!$N$2:$N$9</c:f>
              <c:strCache>
                <c:ptCount val="8"/>
                <c:pt idx="0">
                  <c:v>Stockton</c:v>
                </c:pt>
                <c:pt idx="1">
                  <c:v>Plainville</c:v>
                </c:pt>
                <c:pt idx="2">
                  <c:v>Palco</c:v>
                </c:pt>
                <c:pt idx="3">
                  <c:v>Woodston</c:v>
                </c:pt>
                <c:pt idx="4">
                  <c:v>Damar</c:v>
                </c:pt>
                <c:pt idx="5">
                  <c:v>Zurich</c:v>
                </c:pt>
                <c:pt idx="6">
                  <c:v>Codell</c:v>
                </c:pt>
                <c:pt idx="7">
                  <c:v>Outside City Limits</c:v>
                </c:pt>
              </c:strCache>
            </c:strRef>
          </c:cat>
          <c:val>
            <c:numRef>
              <c:f>Commercial!$O$2:$O$9</c:f>
              <c:numCache>
                <c:formatCode>_("$"* #,##0.00_);_("$"* \(#,##0.00\);_("$"* "-"??_);_(@_)</c:formatCode>
                <c:ptCount val="8"/>
                <c:pt idx="0">
                  <c:v>1486.7777777777778</c:v>
                </c:pt>
                <c:pt idx="1">
                  <c:v>2730.4411764705883</c:v>
                </c:pt>
                <c:pt idx="2">
                  <c:v>3685</c:v>
                </c:pt>
                <c:pt idx="3">
                  <c:v>-3319.090909090909</c:v>
                </c:pt>
                <c:pt idx="4">
                  <c:v>1185</c:v>
                </c:pt>
                <c:pt idx="5">
                  <c:v>78</c:v>
                </c:pt>
                <c:pt idx="6">
                  <c:v>236.66666666666666</c:v>
                </c:pt>
                <c:pt idx="7">
                  <c:v>3566.5384615384614</c:v>
                </c:pt>
              </c:numCache>
            </c:numRef>
          </c:val>
          <c:extLst>
            <c:ext xmlns:c16="http://schemas.microsoft.com/office/drawing/2014/chart" uri="{C3380CC4-5D6E-409C-BE32-E72D297353CC}">
              <c16:uniqueId val="{00000000-F7AE-4957-846D-BAFA6B489B3F}"/>
            </c:ext>
          </c:extLst>
        </c:ser>
        <c:dLbls>
          <c:dLblPos val="outEnd"/>
          <c:showLegendKey val="0"/>
          <c:showVal val="1"/>
          <c:showCatName val="0"/>
          <c:showSerName val="0"/>
          <c:showPercent val="0"/>
          <c:showBubbleSize val="0"/>
        </c:dLbls>
        <c:gapWidth val="164"/>
        <c:overlap val="-22"/>
        <c:axId val="1147370880"/>
        <c:axId val="1147374208"/>
      </c:barChart>
      <c:catAx>
        <c:axId val="11473708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374208"/>
        <c:crosses val="autoZero"/>
        <c:auto val="1"/>
        <c:lblAlgn val="ctr"/>
        <c:lblOffset val="100"/>
        <c:noMultiLvlLbl val="0"/>
      </c:catAx>
      <c:valAx>
        <c:axId val="1147374208"/>
        <c:scaling>
          <c:orientation val="minMax"/>
        </c:scaling>
        <c:delete val="0"/>
        <c:axPos val="l"/>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37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800" b="1" i="0" u="none" strike="noStrike" cap="all" baseline="0">
                <a:effectLst/>
              </a:rPr>
              <a:t>Commercial </a:t>
            </a:r>
            <a:r>
              <a:rPr lang="en-US"/>
              <a:t>Average Percent Difference </a:t>
            </a:r>
          </a:p>
          <a:p>
            <a:pPr>
              <a:defRPr/>
            </a:pPr>
            <a:r>
              <a:rPr lang="en-US"/>
              <a:t>By Location</a:t>
            </a:r>
          </a:p>
        </c:rich>
      </c:tx>
      <c:layout>
        <c:manualLayout>
          <c:xMode val="edge"/>
          <c:yMode val="edge"/>
          <c:x val="0.17952077865266838"/>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8.4330927384076992E-2"/>
          <c:y val="0.30764690871974337"/>
          <c:w val="0.87122462817147861"/>
          <c:h val="0.62760170603674537"/>
        </c:manualLayout>
      </c:layout>
      <c:barChart>
        <c:barDir val="col"/>
        <c:grouping val="clustered"/>
        <c:varyColors val="0"/>
        <c:ser>
          <c:idx val="0"/>
          <c:order val="0"/>
          <c:tx>
            <c:strRef>
              <c:f>Commercial!$O$20</c:f>
              <c:strCache>
                <c:ptCount val="1"/>
                <c:pt idx="0">
                  <c:v>Mean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Commercial!$N$21:$N$28</c:f>
              <c:strCache>
                <c:ptCount val="8"/>
                <c:pt idx="0">
                  <c:v>Stockton</c:v>
                </c:pt>
                <c:pt idx="1">
                  <c:v>Plainville</c:v>
                </c:pt>
                <c:pt idx="2">
                  <c:v>Palco</c:v>
                </c:pt>
                <c:pt idx="3">
                  <c:v>Woodston</c:v>
                </c:pt>
                <c:pt idx="4">
                  <c:v>Damar</c:v>
                </c:pt>
                <c:pt idx="5">
                  <c:v>Zurich</c:v>
                </c:pt>
                <c:pt idx="6">
                  <c:v>Codell</c:v>
                </c:pt>
                <c:pt idx="7">
                  <c:v>Outside City Limits</c:v>
                </c:pt>
              </c:strCache>
            </c:strRef>
          </c:cat>
          <c:val>
            <c:numRef>
              <c:f>Commercial!$O$21:$O$28</c:f>
              <c:numCache>
                <c:formatCode>0.00</c:formatCode>
                <c:ptCount val="8"/>
                <c:pt idx="0">
                  <c:v>3.1462222222222218</c:v>
                </c:pt>
                <c:pt idx="1">
                  <c:v>3.6453676470588228</c:v>
                </c:pt>
                <c:pt idx="2">
                  <c:v>4.4561111111111105</c:v>
                </c:pt>
                <c:pt idx="3">
                  <c:v>-0.49454545454545457</c:v>
                </c:pt>
                <c:pt idx="4">
                  <c:v>12.72</c:v>
                </c:pt>
                <c:pt idx="5">
                  <c:v>1.046</c:v>
                </c:pt>
                <c:pt idx="6">
                  <c:v>4.3966666666666674</c:v>
                </c:pt>
                <c:pt idx="7">
                  <c:v>3.2365384615384625</c:v>
                </c:pt>
              </c:numCache>
            </c:numRef>
          </c:val>
          <c:extLst>
            <c:ext xmlns:c16="http://schemas.microsoft.com/office/drawing/2014/chart" uri="{C3380CC4-5D6E-409C-BE32-E72D297353CC}">
              <c16:uniqueId val="{00000000-FBD4-46BB-B5E3-A4F36C7BE5FE}"/>
            </c:ext>
          </c:extLst>
        </c:ser>
        <c:dLbls>
          <c:dLblPos val="outEnd"/>
          <c:showLegendKey val="0"/>
          <c:showVal val="1"/>
          <c:showCatName val="0"/>
          <c:showSerName val="0"/>
          <c:showPercent val="0"/>
          <c:showBubbleSize val="0"/>
        </c:dLbls>
        <c:gapWidth val="164"/>
        <c:overlap val="-22"/>
        <c:axId val="1159169360"/>
        <c:axId val="1159170192"/>
      </c:barChart>
      <c:catAx>
        <c:axId val="11591693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170192"/>
        <c:crosses val="autoZero"/>
        <c:auto val="1"/>
        <c:lblAlgn val="ctr"/>
        <c:lblOffset val="100"/>
        <c:noMultiLvlLbl val="0"/>
      </c:catAx>
      <c:valAx>
        <c:axId val="115917019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16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Residential Average Value Difference by Location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'Visual Comparison'!$B$1</c:f>
              <c:strCache>
                <c:ptCount val="1"/>
                <c:pt idx="0">
                  <c:v>Average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'Visual Comparison'!$A$2:$A$10</c:f>
              <c:strCache>
                <c:ptCount val="9"/>
                <c:pt idx="0">
                  <c:v>Stockton</c:v>
                </c:pt>
                <c:pt idx="1">
                  <c:v>Plainville</c:v>
                </c:pt>
                <c:pt idx="2">
                  <c:v>Palco</c:v>
                </c:pt>
                <c:pt idx="3">
                  <c:v>Woodston</c:v>
                </c:pt>
                <c:pt idx="4">
                  <c:v>Damar</c:v>
                </c:pt>
                <c:pt idx="5">
                  <c:v>Zurich</c:v>
                </c:pt>
                <c:pt idx="6">
                  <c:v>Codell</c:v>
                </c:pt>
                <c:pt idx="7">
                  <c:v>Outside City &gt; 10ac  </c:v>
                </c:pt>
                <c:pt idx="8">
                  <c:v>Rural &lt; 10 ac  </c:v>
                </c:pt>
              </c:strCache>
            </c:strRef>
          </c:cat>
          <c:val>
            <c:numRef>
              <c:f>'Visual Comparison'!$B$2:$B$10</c:f>
              <c:numCache>
                <c:formatCode>_("$"* #,##0_);_("$"* \(#,##0\);_("$"* "-"??_);_(@_)</c:formatCode>
                <c:ptCount val="9"/>
                <c:pt idx="0">
                  <c:v>6516.7667140825033</c:v>
                </c:pt>
                <c:pt idx="1">
                  <c:v>8588.1467455621296</c:v>
                </c:pt>
                <c:pt idx="2">
                  <c:v>4813.9236111111113</c:v>
                </c:pt>
                <c:pt idx="3">
                  <c:v>4645.75</c:v>
                </c:pt>
                <c:pt idx="4">
                  <c:v>-215.93203883495147</c:v>
                </c:pt>
                <c:pt idx="5">
                  <c:v>1554.6538461538462</c:v>
                </c:pt>
                <c:pt idx="6">
                  <c:v>2750.7391304347825</c:v>
                </c:pt>
                <c:pt idx="7">
                  <c:v>9357.1832669322703</c:v>
                </c:pt>
                <c:pt idx="8" formatCode="_(&quot;$&quot;* #,##0.00_);_(&quot;$&quot;* \(#,##0.00\);_(&quot;$&quot;* &quot;-&quot;??_);_(@_)">
                  <c:v>12245.66750629723</c:v>
                </c:pt>
              </c:numCache>
            </c:numRef>
          </c:val>
          <c:extLst>
            <c:ext xmlns:c16="http://schemas.microsoft.com/office/drawing/2014/chart" uri="{C3380CC4-5D6E-409C-BE32-E72D297353CC}">
              <c16:uniqueId val="{00000000-0790-4887-87D1-1EE94B5667C9}"/>
            </c:ext>
          </c:extLst>
        </c:ser>
        <c:dLbls>
          <c:dLblPos val="outEnd"/>
          <c:showLegendKey val="0"/>
          <c:showVal val="1"/>
          <c:showCatName val="0"/>
          <c:showSerName val="0"/>
          <c:showPercent val="0"/>
          <c:showBubbleSize val="0"/>
        </c:dLbls>
        <c:gapWidth val="164"/>
        <c:overlap val="-22"/>
        <c:axId val="945691344"/>
        <c:axId val="945695920"/>
      </c:barChart>
      <c:catAx>
        <c:axId val="9456913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695920"/>
        <c:crosses val="autoZero"/>
        <c:auto val="1"/>
        <c:lblAlgn val="ctr"/>
        <c:lblOffset val="100"/>
        <c:noMultiLvlLbl val="0"/>
      </c:catAx>
      <c:valAx>
        <c:axId val="945695920"/>
        <c:scaling>
          <c:orientation val="minMax"/>
        </c:scaling>
        <c:delete val="0"/>
        <c:axPos val="l"/>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69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Residential Average</a:t>
            </a:r>
            <a:r>
              <a:rPr lang="en-US" baseline="0"/>
              <a:t> </a:t>
            </a:r>
            <a:r>
              <a:rPr lang="en-US"/>
              <a:t>Difference </a:t>
            </a:r>
          </a:p>
          <a:p>
            <a:pPr>
              <a:defRPr/>
            </a:pPr>
            <a:r>
              <a:rPr lang="en-US"/>
              <a:t>By Location</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'Visual Comparison'!$B$20</c:f>
              <c:strCache>
                <c:ptCount val="1"/>
                <c:pt idx="0">
                  <c:v>Average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'Visual Comparison'!$A$21:$A$29</c:f>
              <c:strCache>
                <c:ptCount val="9"/>
                <c:pt idx="0">
                  <c:v>Stockton</c:v>
                </c:pt>
                <c:pt idx="1">
                  <c:v>Plainville</c:v>
                </c:pt>
                <c:pt idx="2">
                  <c:v>Palco</c:v>
                </c:pt>
                <c:pt idx="3">
                  <c:v>Woodston</c:v>
                </c:pt>
                <c:pt idx="4">
                  <c:v>Damar</c:v>
                </c:pt>
                <c:pt idx="5">
                  <c:v>Zurich</c:v>
                </c:pt>
                <c:pt idx="6">
                  <c:v>Codell</c:v>
                </c:pt>
                <c:pt idx="7">
                  <c:v>Outside City  &gt;10ac</c:v>
                </c:pt>
                <c:pt idx="8">
                  <c:v>Rural &lt; 10 ac</c:v>
                </c:pt>
              </c:strCache>
            </c:strRef>
          </c:cat>
          <c:val>
            <c:numRef>
              <c:f>'Visual Comparison'!$B$21:$B$29</c:f>
              <c:numCache>
                <c:formatCode>0.00</c:formatCode>
                <c:ptCount val="9"/>
                <c:pt idx="0">
                  <c:v>9.5913086770981479</c:v>
                </c:pt>
                <c:pt idx="1">
                  <c:v>11.6847692307692</c:v>
                </c:pt>
                <c:pt idx="2">
                  <c:v>8.5859027777777808</c:v>
                </c:pt>
                <c:pt idx="3">
                  <c:v>9.8873863636363648</c:v>
                </c:pt>
                <c:pt idx="4">
                  <c:v>-1.6546601941747574</c:v>
                </c:pt>
                <c:pt idx="5">
                  <c:v>3.4341025641025644</c:v>
                </c:pt>
                <c:pt idx="6">
                  <c:v>5.1147826086956538</c:v>
                </c:pt>
                <c:pt idx="7">
                  <c:v>10.188964143426267</c:v>
                </c:pt>
                <c:pt idx="8">
                  <c:v>10.52244332493702</c:v>
                </c:pt>
              </c:numCache>
            </c:numRef>
          </c:val>
          <c:extLst>
            <c:ext xmlns:c16="http://schemas.microsoft.com/office/drawing/2014/chart" uri="{C3380CC4-5D6E-409C-BE32-E72D297353CC}">
              <c16:uniqueId val="{00000000-F517-44E1-B618-E91A196C0AD4}"/>
            </c:ext>
          </c:extLst>
        </c:ser>
        <c:dLbls>
          <c:dLblPos val="outEnd"/>
          <c:showLegendKey val="0"/>
          <c:showVal val="1"/>
          <c:showCatName val="0"/>
          <c:showSerName val="0"/>
          <c:showPercent val="0"/>
          <c:showBubbleSize val="0"/>
        </c:dLbls>
        <c:gapWidth val="164"/>
        <c:overlap val="-22"/>
        <c:axId val="940518544"/>
        <c:axId val="940518960"/>
      </c:barChart>
      <c:catAx>
        <c:axId val="9405185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518960"/>
        <c:crosses val="autoZero"/>
        <c:auto val="1"/>
        <c:lblAlgn val="ctr"/>
        <c:lblOffset val="100"/>
        <c:noMultiLvlLbl val="0"/>
      </c:catAx>
      <c:valAx>
        <c:axId val="9405189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51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400"/>
              <a:t>House Sales by Location &gt; 8ac. </a:t>
            </a:r>
          </a:p>
          <a:p>
            <a:pPr>
              <a:defRPr/>
            </a:pPr>
            <a:r>
              <a:rPr lang="en-US" sz="1200" b="0" i="1"/>
              <a:t>Oct 1, 2020-March 1, 2022</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'Sale Visual'!$B$1</c:f>
              <c:strCache>
                <c:ptCount val="1"/>
                <c:pt idx="0">
                  <c:v>Stockton</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'Sale Visual'!$A$2:$A$9</c:f>
              <c:strCache>
                <c:ptCount val="8"/>
                <c:pt idx="0">
                  <c:v>$251,000+</c:v>
                </c:pt>
                <c:pt idx="1">
                  <c:v>$200-$250,999</c:v>
                </c:pt>
                <c:pt idx="2">
                  <c:v>$150-$199,999</c:v>
                </c:pt>
                <c:pt idx="3">
                  <c:v>$100-$149,999</c:v>
                </c:pt>
                <c:pt idx="4">
                  <c:v>$75-$99,999 </c:v>
                </c:pt>
                <c:pt idx="5">
                  <c:v>$50-$74,999  </c:v>
                </c:pt>
                <c:pt idx="6">
                  <c:v>$25-$49,999   </c:v>
                </c:pt>
                <c:pt idx="7">
                  <c:v>$24,000-Below</c:v>
                </c:pt>
              </c:strCache>
            </c:strRef>
          </c:cat>
          <c:val>
            <c:numRef>
              <c:f>'Sale Visual'!$B$2:$B$9</c:f>
              <c:numCache>
                <c:formatCode>General</c:formatCode>
                <c:ptCount val="8"/>
                <c:pt idx="0">
                  <c:v>1</c:v>
                </c:pt>
                <c:pt idx="2">
                  <c:v>5</c:v>
                </c:pt>
                <c:pt idx="3">
                  <c:v>5</c:v>
                </c:pt>
                <c:pt idx="4">
                  <c:v>14</c:v>
                </c:pt>
                <c:pt idx="5">
                  <c:v>10</c:v>
                </c:pt>
                <c:pt idx="6">
                  <c:v>6</c:v>
                </c:pt>
                <c:pt idx="7">
                  <c:v>6</c:v>
                </c:pt>
              </c:numCache>
            </c:numRef>
          </c:val>
          <c:extLst>
            <c:ext xmlns:c16="http://schemas.microsoft.com/office/drawing/2014/chart" uri="{C3380CC4-5D6E-409C-BE32-E72D297353CC}">
              <c16:uniqueId val="{00000000-6F79-46A2-9B79-02B3175801E2}"/>
            </c:ext>
          </c:extLst>
        </c:ser>
        <c:ser>
          <c:idx val="1"/>
          <c:order val="1"/>
          <c:tx>
            <c:strRef>
              <c:f>'Sale Visual'!$C$1</c:f>
              <c:strCache>
                <c:ptCount val="1"/>
                <c:pt idx="0">
                  <c:v>Plainville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'Sale Visual'!$A$2:$A$9</c:f>
              <c:strCache>
                <c:ptCount val="8"/>
                <c:pt idx="0">
                  <c:v>$251,000+</c:v>
                </c:pt>
                <c:pt idx="1">
                  <c:v>$200-$250,999</c:v>
                </c:pt>
                <c:pt idx="2">
                  <c:v>$150-$199,999</c:v>
                </c:pt>
                <c:pt idx="3">
                  <c:v>$100-$149,999</c:v>
                </c:pt>
                <c:pt idx="4">
                  <c:v>$75-$99,999 </c:v>
                </c:pt>
                <c:pt idx="5">
                  <c:v>$50-$74,999  </c:v>
                </c:pt>
                <c:pt idx="6">
                  <c:v>$25-$49,999   </c:v>
                </c:pt>
                <c:pt idx="7">
                  <c:v>$24,000-Below</c:v>
                </c:pt>
              </c:strCache>
            </c:strRef>
          </c:cat>
          <c:val>
            <c:numRef>
              <c:f>'Sale Visual'!$C$2:$C$9</c:f>
              <c:numCache>
                <c:formatCode>General</c:formatCode>
                <c:ptCount val="8"/>
                <c:pt idx="0">
                  <c:v>3</c:v>
                </c:pt>
                <c:pt idx="1">
                  <c:v>5</c:v>
                </c:pt>
                <c:pt idx="2">
                  <c:v>13</c:v>
                </c:pt>
                <c:pt idx="3">
                  <c:v>8</c:v>
                </c:pt>
                <c:pt idx="4">
                  <c:v>8</c:v>
                </c:pt>
                <c:pt idx="5">
                  <c:v>13</c:v>
                </c:pt>
                <c:pt idx="6">
                  <c:v>17</c:v>
                </c:pt>
                <c:pt idx="7">
                  <c:v>13</c:v>
                </c:pt>
              </c:numCache>
            </c:numRef>
          </c:val>
          <c:extLst>
            <c:ext xmlns:c16="http://schemas.microsoft.com/office/drawing/2014/chart" uri="{C3380CC4-5D6E-409C-BE32-E72D297353CC}">
              <c16:uniqueId val="{00000001-6F79-46A2-9B79-02B3175801E2}"/>
            </c:ext>
          </c:extLst>
        </c:ser>
        <c:ser>
          <c:idx val="2"/>
          <c:order val="2"/>
          <c:tx>
            <c:strRef>
              <c:f>'Sale Visual'!$D$1</c:f>
              <c:strCache>
                <c:ptCount val="1"/>
                <c:pt idx="0">
                  <c:v>Palco</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'Sale Visual'!$A$2:$A$9</c:f>
              <c:strCache>
                <c:ptCount val="8"/>
                <c:pt idx="0">
                  <c:v>$251,000+</c:v>
                </c:pt>
                <c:pt idx="1">
                  <c:v>$200-$250,999</c:v>
                </c:pt>
                <c:pt idx="2">
                  <c:v>$150-$199,999</c:v>
                </c:pt>
                <c:pt idx="3">
                  <c:v>$100-$149,999</c:v>
                </c:pt>
                <c:pt idx="4">
                  <c:v>$75-$99,999 </c:v>
                </c:pt>
                <c:pt idx="5">
                  <c:v>$50-$74,999  </c:v>
                </c:pt>
                <c:pt idx="6">
                  <c:v>$25-$49,999   </c:v>
                </c:pt>
                <c:pt idx="7">
                  <c:v>$24,000-Below</c:v>
                </c:pt>
              </c:strCache>
            </c:strRef>
          </c:cat>
          <c:val>
            <c:numRef>
              <c:f>'Sale Visual'!$D$2:$D$9</c:f>
              <c:numCache>
                <c:formatCode>General</c:formatCode>
                <c:ptCount val="8"/>
                <c:pt idx="3">
                  <c:v>1</c:v>
                </c:pt>
                <c:pt idx="4">
                  <c:v>4</c:v>
                </c:pt>
                <c:pt idx="5">
                  <c:v>3</c:v>
                </c:pt>
                <c:pt idx="6">
                  <c:v>1</c:v>
                </c:pt>
                <c:pt idx="7">
                  <c:v>2</c:v>
                </c:pt>
              </c:numCache>
            </c:numRef>
          </c:val>
          <c:extLst>
            <c:ext xmlns:c16="http://schemas.microsoft.com/office/drawing/2014/chart" uri="{C3380CC4-5D6E-409C-BE32-E72D297353CC}">
              <c16:uniqueId val="{00000002-6F79-46A2-9B79-02B3175801E2}"/>
            </c:ext>
          </c:extLst>
        </c:ser>
        <c:ser>
          <c:idx val="3"/>
          <c:order val="3"/>
          <c:tx>
            <c:strRef>
              <c:f>'Sale Visual'!$E$1</c:f>
              <c:strCache>
                <c:ptCount val="1"/>
                <c:pt idx="0">
                  <c:v>Woodston</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'Sale Visual'!$A$2:$A$9</c:f>
              <c:strCache>
                <c:ptCount val="8"/>
                <c:pt idx="0">
                  <c:v>$251,000+</c:v>
                </c:pt>
                <c:pt idx="1">
                  <c:v>$200-$250,999</c:v>
                </c:pt>
                <c:pt idx="2">
                  <c:v>$150-$199,999</c:v>
                </c:pt>
                <c:pt idx="3">
                  <c:v>$100-$149,999</c:v>
                </c:pt>
                <c:pt idx="4">
                  <c:v>$75-$99,999 </c:v>
                </c:pt>
                <c:pt idx="5">
                  <c:v>$50-$74,999  </c:v>
                </c:pt>
                <c:pt idx="6">
                  <c:v>$25-$49,999   </c:v>
                </c:pt>
                <c:pt idx="7">
                  <c:v>$24,000-Below</c:v>
                </c:pt>
              </c:strCache>
            </c:strRef>
          </c:cat>
          <c:val>
            <c:numRef>
              <c:f>'Sale Visual'!$E$2:$E$9</c:f>
              <c:numCache>
                <c:formatCode>General</c:formatCode>
                <c:ptCount val="8"/>
                <c:pt idx="3">
                  <c:v>1</c:v>
                </c:pt>
                <c:pt idx="7">
                  <c:v>5</c:v>
                </c:pt>
              </c:numCache>
            </c:numRef>
          </c:val>
          <c:extLst>
            <c:ext xmlns:c16="http://schemas.microsoft.com/office/drawing/2014/chart" uri="{C3380CC4-5D6E-409C-BE32-E72D297353CC}">
              <c16:uniqueId val="{00000003-6F79-46A2-9B79-02B3175801E2}"/>
            </c:ext>
          </c:extLst>
        </c:ser>
        <c:ser>
          <c:idx val="4"/>
          <c:order val="4"/>
          <c:tx>
            <c:strRef>
              <c:f>'Sale Visual'!$F$1</c:f>
              <c:strCache>
                <c:ptCount val="1"/>
                <c:pt idx="0">
                  <c:v>Damar</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'Sale Visual'!$A$2:$A$9</c:f>
              <c:strCache>
                <c:ptCount val="8"/>
                <c:pt idx="0">
                  <c:v>$251,000+</c:v>
                </c:pt>
                <c:pt idx="1">
                  <c:v>$200-$250,999</c:v>
                </c:pt>
                <c:pt idx="2">
                  <c:v>$150-$199,999</c:v>
                </c:pt>
                <c:pt idx="3">
                  <c:v>$100-$149,999</c:v>
                </c:pt>
                <c:pt idx="4">
                  <c:v>$75-$99,999 </c:v>
                </c:pt>
                <c:pt idx="5">
                  <c:v>$50-$74,999  </c:v>
                </c:pt>
                <c:pt idx="6">
                  <c:v>$25-$49,999   </c:v>
                </c:pt>
                <c:pt idx="7">
                  <c:v>$24,000-Below</c:v>
                </c:pt>
              </c:strCache>
            </c:strRef>
          </c:cat>
          <c:val>
            <c:numRef>
              <c:f>'Sale Visual'!$F$2:$F$9</c:f>
              <c:numCache>
                <c:formatCode>General</c:formatCode>
                <c:ptCount val="8"/>
                <c:pt idx="3">
                  <c:v>2</c:v>
                </c:pt>
                <c:pt idx="4">
                  <c:v>2</c:v>
                </c:pt>
                <c:pt idx="5">
                  <c:v>5</c:v>
                </c:pt>
                <c:pt idx="6">
                  <c:v>2</c:v>
                </c:pt>
              </c:numCache>
            </c:numRef>
          </c:val>
          <c:extLst>
            <c:ext xmlns:c16="http://schemas.microsoft.com/office/drawing/2014/chart" uri="{C3380CC4-5D6E-409C-BE32-E72D297353CC}">
              <c16:uniqueId val="{00000004-6F79-46A2-9B79-02B3175801E2}"/>
            </c:ext>
          </c:extLst>
        </c:ser>
        <c:ser>
          <c:idx val="5"/>
          <c:order val="5"/>
          <c:tx>
            <c:strRef>
              <c:f>'Sale Visual'!$G$1</c:f>
              <c:strCache>
                <c:ptCount val="1"/>
                <c:pt idx="0">
                  <c:v>Zurich</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'Sale Visual'!$A$2:$A$9</c:f>
              <c:strCache>
                <c:ptCount val="8"/>
                <c:pt idx="0">
                  <c:v>$251,000+</c:v>
                </c:pt>
                <c:pt idx="1">
                  <c:v>$200-$250,999</c:v>
                </c:pt>
                <c:pt idx="2">
                  <c:v>$150-$199,999</c:v>
                </c:pt>
                <c:pt idx="3">
                  <c:v>$100-$149,999</c:v>
                </c:pt>
                <c:pt idx="4">
                  <c:v>$75-$99,999 </c:v>
                </c:pt>
                <c:pt idx="5">
                  <c:v>$50-$74,999  </c:v>
                </c:pt>
                <c:pt idx="6">
                  <c:v>$25-$49,999   </c:v>
                </c:pt>
                <c:pt idx="7">
                  <c:v>$24,000-Below</c:v>
                </c:pt>
              </c:strCache>
            </c:strRef>
          </c:cat>
          <c:val>
            <c:numRef>
              <c:f>'Sale Visual'!$G$2:$G$9</c:f>
              <c:numCache>
                <c:formatCode>General</c:formatCode>
                <c:ptCount val="8"/>
                <c:pt idx="0">
                  <c:v>2</c:v>
                </c:pt>
                <c:pt idx="6">
                  <c:v>3</c:v>
                </c:pt>
              </c:numCache>
            </c:numRef>
          </c:val>
          <c:extLst>
            <c:ext xmlns:c16="http://schemas.microsoft.com/office/drawing/2014/chart" uri="{C3380CC4-5D6E-409C-BE32-E72D297353CC}">
              <c16:uniqueId val="{00000005-6F79-46A2-9B79-02B3175801E2}"/>
            </c:ext>
          </c:extLst>
        </c:ser>
        <c:dLbls>
          <c:dLblPos val="outEnd"/>
          <c:showLegendKey val="0"/>
          <c:showVal val="1"/>
          <c:showCatName val="0"/>
          <c:showSerName val="0"/>
          <c:showPercent val="0"/>
          <c:showBubbleSize val="0"/>
        </c:dLbls>
        <c:gapWidth val="164"/>
        <c:overlap val="-22"/>
        <c:axId val="996020064"/>
        <c:axId val="996013824"/>
      </c:barChart>
      <c:catAx>
        <c:axId val="996020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013824"/>
        <c:crosses val="autoZero"/>
        <c:auto val="1"/>
        <c:lblAlgn val="ctr"/>
        <c:lblOffset val="100"/>
        <c:noMultiLvlLbl val="0"/>
      </c:catAx>
      <c:valAx>
        <c:axId val="996013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020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Rooks County Appraiser</dc:creator>
  <cp:keywords/>
  <dc:description/>
  <cp:lastModifiedBy>Rooks County Appraiser</cp:lastModifiedBy>
  <cp:revision>3</cp:revision>
  <cp:lastPrinted>2022-03-22T13:32:00Z</cp:lastPrinted>
  <dcterms:created xsi:type="dcterms:W3CDTF">2022-03-22T14:12:00Z</dcterms:created>
  <dcterms:modified xsi:type="dcterms:W3CDTF">2022-03-22T14:12:00Z</dcterms:modified>
</cp:coreProperties>
</file>